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FFFD" w14:textId="434B8DFB" w:rsidR="005E7BB8" w:rsidRPr="005F4322" w:rsidRDefault="005E7BB8" w:rsidP="005E7BB8">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WG2 Meeting #12</w:t>
      </w:r>
      <w:r>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79665A">
        <w:rPr>
          <w:rFonts w:eastAsia="MS Mincho"/>
          <w:sz w:val="24"/>
          <w:szCs w:val="24"/>
          <w:lang w:val="en-GB" w:eastAsia="en-GB"/>
        </w:rPr>
        <w:t>R2-240687</w:t>
      </w:r>
      <w:r w:rsidR="0079665A">
        <w:rPr>
          <w:rFonts w:eastAsiaTheme="minorEastAsia" w:hint="eastAsia"/>
          <w:sz w:val="24"/>
          <w:szCs w:val="24"/>
          <w:lang w:val="en-GB" w:eastAsia="zh-CN"/>
        </w:rPr>
        <w:t>3</w:t>
      </w:r>
    </w:p>
    <w:p w14:paraId="676C9235" w14:textId="1676ED20" w:rsidR="005E7BB8" w:rsidRPr="007127A5" w:rsidRDefault="005E7BB8" w:rsidP="005E7BB8">
      <w:pPr>
        <w:pStyle w:val="a3"/>
        <w:tabs>
          <w:tab w:val="right" w:pos="9639"/>
        </w:tabs>
        <w:jc w:val="both"/>
        <w:rPr>
          <w:rFonts w:eastAsiaTheme="minorEastAsia"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p>
    <w:p w14:paraId="1A10DE58" w14:textId="77777777" w:rsidR="00186BCD" w:rsidRPr="005E7BB8"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397F63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w:t>
      </w:r>
      <w:r w:rsidR="004E65EE">
        <w:rPr>
          <w:rFonts w:eastAsia="宋体" w:cs="Arial"/>
          <w:b/>
          <w:bCs/>
          <w:kern w:val="2"/>
          <w:sz w:val="24"/>
          <w:szCs w:val="22"/>
          <w:lang w:val="en-US" w:eastAsia="zh-CN"/>
        </w:rPr>
        <w:t>6</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ED5CFA5" w:rsidR="0092224B" w:rsidRPr="002D1665" w:rsidRDefault="0092224B" w:rsidP="00EC0E62">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F1D49" w:rsidRPr="00FF1D49">
        <w:rPr>
          <w:rFonts w:ascii="Arial" w:hAnsi="Arial" w:cs="Arial"/>
          <w:b/>
          <w:bCs/>
          <w:sz w:val="24"/>
        </w:rPr>
        <w:t>NR satellite assistance information provisioning</w:t>
      </w:r>
      <w:r w:rsidR="00FF1D49">
        <w:rPr>
          <w:rFonts w:ascii="Arial" w:hAnsi="Arial" w:cs="Arial" w:hint="eastAsia"/>
          <w:b/>
          <w:bCs/>
          <w:sz w:val="24"/>
        </w:rPr>
        <w:t xml:space="preserve"> for LTE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2D0BBB1E" w:rsidR="001E042A" w:rsidRDefault="000C5E3A" w:rsidP="001D4BFE">
      <w:pPr>
        <w:spacing w:beforeLines="50" w:before="156" w:afterLines="50" w:after="156"/>
        <w:rPr>
          <w:rFonts w:ascii="Times New Roman" w:hAnsi="Times New Roman"/>
          <w:sz w:val="22"/>
        </w:rPr>
      </w:pPr>
      <w:r>
        <w:rPr>
          <w:rFonts w:ascii="Times New Roman" w:hAnsi="Times New Roman"/>
          <w:sz w:val="22"/>
        </w:rPr>
        <w:t>The latest RAN2#12</w:t>
      </w:r>
      <w:r w:rsidR="00C970D7">
        <w:rPr>
          <w:rFonts w:ascii="Times New Roman" w:hAnsi="Times New Roman" w:hint="eastAsia"/>
          <w:sz w:val="22"/>
        </w:rPr>
        <w:t>6</w:t>
      </w:r>
      <w:r>
        <w:rPr>
          <w:rFonts w:ascii="Times New Roman" w:hAnsi="Times New Roman"/>
          <w:sz w:val="22"/>
        </w:rPr>
        <w:t xml:space="preserve"> meeting made the following agreements regarding </w:t>
      </w:r>
      <w:r w:rsidR="00EC0E62" w:rsidRPr="00EC0E62">
        <w:rPr>
          <w:rFonts w:ascii="Times New Roman" w:hAnsi="Times New Roman"/>
          <w:sz w:val="22"/>
        </w:rPr>
        <w:t>LTE to NR-NTN IDLE mobility</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46C47DE3" w14:textId="77777777" w:rsidR="001E15A4" w:rsidRPr="001E15A4" w:rsidRDefault="001E15A4" w:rsidP="001E15A4">
            <w:pPr>
              <w:pStyle w:val="a6"/>
              <w:numPr>
                <w:ilvl w:val="0"/>
                <w:numId w:val="38"/>
              </w:numPr>
              <w:spacing w:after="0"/>
              <w:ind w:firstLineChars="0"/>
              <w:rPr>
                <w:szCs w:val="16"/>
              </w:rPr>
            </w:pPr>
            <w:r w:rsidRPr="001E15A4">
              <w:rPr>
                <w:szCs w:val="16"/>
              </w:rPr>
              <w:t>For idle mode mobility from EUTRA TN to NR NTN, NB-IoT UEs are considered not in the scope.</w:t>
            </w:r>
          </w:p>
          <w:p w14:paraId="7B1E56D0" w14:textId="77777777" w:rsidR="001E15A4" w:rsidRPr="001E15A4" w:rsidRDefault="001E15A4" w:rsidP="001E15A4">
            <w:pPr>
              <w:pStyle w:val="a6"/>
              <w:numPr>
                <w:ilvl w:val="0"/>
                <w:numId w:val="38"/>
              </w:numPr>
              <w:spacing w:after="0"/>
              <w:ind w:firstLineChars="0"/>
              <w:rPr>
                <w:szCs w:val="16"/>
              </w:rPr>
            </w:pPr>
            <w:r w:rsidRPr="001E15A4">
              <w:rPr>
                <w:szCs w:val="16"/>
              </w:rPr>
              <w:t>For idle mode mobility from EUTRA TN to NR NTN, we don’t consider specific optimizations for BL UEs and UEs in CE.</w:t>
            </w:r>
          </w:p>
          <w:p w14:paraId="55F5523C" w14:textId="77777777" w:rsidR="001E15A4" w:rsidRPr="001E15A4" w:rsidRDefault="001E15A4" w:rsidP="001E15A4">
            <w:pPr>
              <w:pStyle w:val="a6"/>
              <w:numPr>
                <w:ilvl w:val="0"/>
                <w:numId w:val="38"/>
              </w:numPr>
              <w:spacing w:after="0"/>
              <w:ind w:firstLineChars="0"/>
              <w:rPr>
                <w:szCs w:val="16"/>
              </w:rPr>
            </w:pPr>
            <w:r w:rsidRPr="001E15A4">
              <w:rPr>
                <w:szCs w:val="16"/>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EFB3A19" w14:textId="48FD3324" w:rsidR="001E15A4" w:rsidRPr="002F6A5A" w:rsidRDefault="001E15A4" w:rsidP="002F6A5A">
            <w:pPr>
              <w:pStyle w:val="a6"/>
              <w:numPr>
                <w:ilvl w:val="0"/>
                <w:numId w:val="38"/>
              </w:numPr>
              <w:spacing w:after="0"/>
              <w:ind w:firstLineChars="0"/>
              <w:rPr>
                <w:szCs w:val="16"/>
              </w:rPr>
            </w:pPr>
            <w:r w:rsidRPr="002F6A5A">
              <w:rPr>
                <w:szCs w:val="16"/>
              </w:rPr>
              <w:t>To support the idle mode mobility from EUTRA TN to NR NTN, the satellite assistance information for NR NTN neighbor cells is needed and should include the following parameters:</w:t>
            </w:r>
            <w:r w:rsidRPr="002F6A5A">
              <w:rPr>
                <w:rFonts w:hint="eastAsia"/>
                <w:szCs w:val="16"/>
              </w:rPr>
              <w:t xml:space="preserve"> </w:t>
            </w:r>
            <w:r w:rsidRPr="002F6A5A">
              <w:rPr>
                <w:szCs w:val="16"/>
              </w:rPr>
              <w:t>Satellite ephemeris information</w:t>
            </w:r>
            <w:r w:rsidR="002F6A5A" w:rsidRPr="002F6A5A">
              <w:rPr>
                <w:rFonts w:hint="eastAsia"/>
                <w:szCs w:val="16"/>
              </w:rPr>
              <w:t>,</w:t>
            </w:r>
            <w:r w:rsidRPr="002F6A5A">
              <w:rPr>
                <w:rFonts w:hint="eastAsia"/>
                <w:szCs w:val="16"/>
              </w:rPr>
              <w:t xml:space="preserve"> </w:t>
            </w:r>
            <w:r w:rsidRPr="002F6A5A">
              <w:rPr>
                <w:szCs w:val="16"/>
              </w:rPr>
              <w:t>TA common information</w:t>
            </w:r>
            <w:r w:rsidR="002F6A5A" w:rsidRPr="002F6A5A">
              <w:rPr>
                <w:rFonts w:hint="eastAsia"/>
                <w:szCs w:val="16"/>
              </w:rPr>
              <w:t>,</w:t>
            </w:r>
            <w:r w:rsidRPr="002F6A5A">
              <w:rPr>
                <w:rFonts w:hint="eastAsia"/>
                <w:szCs w:val="16"/>
              </w:rPr>
              <w:t xml:space="preserve"> </w:t>
            </w:r>
            <w:r w:rsidRPr="002F6A5A">
              <w:rPr>
                <w:szCs w:val="16"/>
              </w:rPr>
              <w:t>k-Mac</w:t>
            </w:r>
            <w:r w:rsidR="002F6A5A" w:rsidRPr="002F6A5A">
              <w:rPr>
                <w:rFonts w:hint="eastAsia"/>
                <w:szCs w:val="16"/>
              </w:rPr>
              <w:t>,</w:t>
            </w:r>
            <w:r w:rsidRPr="002F6A5A">
              <w:rPr>
                <w:rFonts w:hint="eastAsia"/>
                <w:szCs w:val="16"/>
              </w:rPr>
              <w:t xml:space="preserve"> </w:t>
            </w:r>
            <w:r w:rsidRPr="002F6A5A">
              <w:rPr>
                <w:szCs w:val="16"/>
              </w:rPr>
              <w:t>epoch time</w:t>
            </w:r>
            <w:r w:rsidR="002F6A5A" w:rsidRPr="002F6A5A">
              <w:rPr>
                <w:rFonts w:hint="eastAsia"/>
                <w:szCs w:val="16"/>
              </w:rPr>
              <w:t>,</w:t>
            </w:r>
            <w:r w:rsidRPr="002F6A5A">
              <w:rPr>
                <w:rFonts w:hint="eastAsia"/>
                <w:szCs w:val="16"/>
              </w:rPr>
              <w:t xml:space="preserve"> </w:t>
            </w:r>
            <w:r w:rsidRPr="002F6A5A">
              <w:rPr>
                <w:szCs w:val="16"/>
              </w:rPr>
              <w:t>validity duration</w:t>
            </w:r>
            <w:r w:rsidR="002F6A5A" w:rsidRPr="002F6A5A">
              <w:rPr>
                <w:rFonts w:hint="eastAsia"/>
                <w:szCs w:val="16"/>
              </w:rPr>
              <w:t>,</w:t>
            </w:r>
            <w:r w:rsidRPr="002F6A5A">
              <w:rPr>
                <w:rFonts w:hint="eastAsia"/>
                <w:szCs w:val="16"/>
              </w:rPr>
              <w:t xml:space="preserve"> </w:t>
            </w:r>
            <w:r w:rsidRPr="00871CA2">
              <w:rPr>
                <w:szCs w:val="16"/>
              </w:rPr>
              <w:t>ntn-PolarizationDL</w:t>
            </w:r>
            <w:r w:rsidRPr="002F6A5A">
              <w:rPr>
                <w:szCs w:val="16"/>
              </w:rPr>
              <w:t xml:space="preserve"> (FFS if mandatory or optional)</w:t>
            </w:r>
          </w:p>
          <w:p w14:paraId="7D7B49F7" w14:textId="70D80F93" w:rsidR="001E15A4" w:rsidRPr="001E15A4" w:rsidRDefault="001E15A4" w:rsidP="001E15A4">
            <w:pPr>
              <w:pStyle w:val="a6"/>
              <w:numPr>
                <w:ilvl w:val="0"/>
                <w:numId w:val="38"/>
              </w:numPr>
              <w:spacing w:after="0"/>
              <w:ind w:firstLineChars="0"/>
              <w:rPr>
                <w:szCs w:val="16"/>
              </w:rPr>
            </w:pPr>
            <w:r w:rsidRPr="001E15A4">
              <w:rPr>
                <w:szCs w:val="16"/>
              </w:rPr>
              <w:t>The Ephemeris information/epoch time/k-mac/validity duration IEs defined in SIB33 specified in TS36.331 should be reused for NR satellite assistance information.</w:t>
            </w:r>
          </w:p>
          <w:p w14:paraId="7DD176A6" w14:textId="6EB0A4E3" w:rsidR="001E15A4" w:rsidRPr="001E15A4" w:rsidRDefault="001E15A4" w:rsidP="001E15A4">
            <w:pPr>
              <w:pStyle w:val="a6"/>
              <w:numPr>
                <w:ilvl w:val="0"/>
                <w:numId w:val="38"/>
              </w:numPr>
              <w:spacing w:after="0"/>
              <w:ind w:firstLineChars="0"/>
              <w:rPr>
                <w:szCs w:val="16"/>
              </w:rPr>
            </w:pPr>
            <w:r w:rsidRPr="001E15A4">
              <w:rPr>
                <w:szCs w:val="16"/>
              </w:rPr>
              <w:t xml:space="preserve">The signalling format for </w:t>
            </w:r>
            <w:r w:rsidRPr="00871CA2">
              <w:rPr>
                <w:szCs w:val="16"/>
              </w:rPr>
              <w:t xml:space="preserve">ntn-PolarizationDL </w:t>
            </w:r>
            <w:r w:rsidRPr="001E15A4">
              <w:rPr>
                <w:szCs w:val="16"/>
              </w:rPr>
              <w:t>and TA common related configurations within NTN-Config specified in TS38.331 should be introduced in TS36.331 for NR satellite assistance information.</w:t>
            </w:r>
          </w:p>
          <w:p w14:paraId="67C1AA20" w14:textId="09B2874A" w:rsidR="001E15A4" w:rsidRPr="001E15A4" w:rsidRDefault="001E15A4" w:rsidP="001E15A4">
            <w:pPr>
              <w:pStyle w:val="a6"/>
              <w:numPr>
                <w:ilvl w:val="0"/>
                <w:numId w:val="38"/>
              </w:numPr>
              <w:spacing w:after="0"/>
              <w:ind w:firstLineChars="0"/>
              <w:rPr>
                <w:szCs w:val="16"/>
              </w:rPr>
            </w:pPr>
            <w:r w:rsidRPr="001E15A4">
              <w:rPr>
                <w:szCs w:val="16"/>
              </w:rPr>
              <w:t>RAN2 will decide in the next meeting which of the following options to adopt for the provision of the NR satellite assistance information (based on TPs provided by the WI RRC Rapporteur):</w:t>
            </w:r>
          </w:p>
          <w:p w14:paraId="0BA87627" w14:textId="20FCC7E0" w:rsidR="001E15A4" w:rsidRPr="001E15A4" w:rsidRDefault="001E15A4" w:rsidP="002F6A5A">
            <w:pPr>
              <w:pStyle w:val="a6"/>
              <w:numPr>
                <w:ilvl w:val="0"/>
                <w:numId w:val="46"/>
              </w:numPr>
              <w:spacing w:after="0"/>
              <w:ind w:firstLineChars="0"/>
              <w:rPr>
                <w:szCs w:val="16"/>
              </w:rPr>
            </w:pPr>
            <w:r w:rsidRPr="001E15A4">
              <w:rPr>
                <w:szCs w:val="16"/>
              </w:rPr>
              <w:t>Option 1: Introduce a new SIB to include the NR satellite assistance information.</w:t>
            </w:r>
          </w:p>
          <w:p w14:paraId="58C9788E" w14:textId="1C8C9360" w:rsidR="001E15A4" w:rsidRPr="001E15A4" w:rsidRDefault="001E15A4" w:rsidP="002F6A5A">
            <w:pPr>
              <w:pStyle w:val="a6"/>
              <w:numPr>
                <w:ilvl w:val="0"/>
                <w:numId w:val="46"/>
              </w:numPr>
              <w:spacing w:after="0"/>
              <w:ind w:firstLineChars="0"/>
              <w:rPr>
                <w:szCs w:val="16"/>
              </w:rPr>
            </w:pPr>
            <w:r w:rsidRPr="001E15A4">
              <w:rPr>
                <w:szCs w:val="16"/>
              </w:rPr>
              <w:t>Option 2: Define new IE for NR satellite assistance information and define separate neighbour satellite information list to provide the NR satellite information in SIB33.</w:t>
            </w:r>
          </w:p>
          <w:p w14:paraId="4422B6E1" w14:textId="57FE89CA" w:rsidR="001E15A4" w:rsidRPr="001E15A4" w:rsidRDefault="001E15A4" w:rsidP="002F6A5A">
            <w:pPr>
              <w:pStyle w:val="a6"/>
              <w:numPr>
                <w:ilvl w:val="0"/>
                <w:numId w:val="46"/>
              </w:numPr>
              <w:spacing w:after="0"/>
              <w:ind w:firstLineChars="0"/>
              <w:rPr>
                <w:szCs w:val="16"/>
              </w:rPr>
            </w:pPr>
            <w:r w:rsidRPr="001E15A4">
              <w:rPr>
                <w:szCs w:val="16"/>
              </w:rPr>
              <w:t>Option 3: Extend the NeighSatelliteInfo defined for IoT NTN to include the parameters needed for NR satellite, and reuse the neighSatelliteInfoList defined in SIB33 to provide either NR or IoT NTN information.</w:t>
            </w:r>
          </w:p>
          <w:p w14:paraId="02CEA0AC" w14:textId="0CBE0005" w:rsidR="001E15A4" w:rsidRPr="001E15A4" w:rsidRDefault="001E15A4" w:rsidP="001E15A4">
            <w:pPr>
              <w:pStyle w:val="a6"/>
              <w:numPr>
                <w:ilvl w:val="0"/>
                <w:numId w:val="38"/>
              </w:numPr>
              <w:spacing w:after="0"/>
              <w:ind w:firstLineChars="0"/>
              <w:rPr>
                <w:szCs w:val="16"/>
              </w:rPr>
            </w:pPr>
            <w:r w:rsidRPr="001E15A4">
              <w:rPr>
                <w:szCs w:val="16"/>
              </w:rPr>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1A3A2FCC" w14:textId="77777777" w:rsidR="009C75A0" w:rsidRPr="001E15A4" w:rsidRDefault="009C75A0" w:rsidP="001E15A4">
            <w:pPr>
              <w:ind w:left="2"/>
              <w:rPr>
                <w:rFonts w:ascii="Times New Roman" w:hAnsi="Times New Roman"/>
                <w:sz w:val="20"/>
                <w:szCs w:val="20"/>
              </w:rPr>
            </w:pPr>
            <w:r w:rsidRPr="001E15A4">
              <w:rPr>
                <w:rFonts w:ascii="Times New Roman" w:hAnsi="Times New Roman"/>
                <w:sz w:val="20"/>
                <w:szCs w:val="20"/>
              </w:rPr>
              <w:t>Working Assumption:</w:t>
            </w:r>
          </w:p>
          <w:p w14:paraId="66B64218" w14:textId="6F542567" w:rsidR="00DA76E6" w:rsidRPr="00C970D7" w:rsidRDefault="001E15A4" w:rsidP="001E15A4">
            <w:pPr>
              <w:pStyle w:val="a6"/>
              <w:numPr>
                <w:ilvl w:val="0"/>
                <w:numId w:val="45"/>
              </w:numPr>
              <w:spacing w:after="0"/>
              <w:ind w:firstLineChars="0"/>
              <w:rPr>
                <w:sz w:val="22"/>
              </w:rPr>
            </w:pPr>
            <w:r w:rsidRPr="001E15A4">
              <w:rPr>
                <w:szCs w:val="16"/>
              </w:rPr>
              <w:t>NR NTN cell reselection evaluation is based on RRM measurements as legacy; no spec impact foreseen for EUTRA TN to NR NTN cell (can come back in the next meeting to see if the WA can be confirmed)</w:t>
            </w:r>
          </w:p>
        </w:tc>
      </w:tr>
    </w:tbl>
    <w:p w14:paraId="50CCF97D" w14:textId="00AB561C" w:rsidR="001E042A" w:rsidRDefault="009B4F09" w:rsidP="001D4BFE">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BD72CB">
        <w:rPr>
          <w:rFonts w:ascii="Times New Roman" w:hAnsi="Times New Roman"/>
          <w:sz w:val="22"/>
        </w:rPr>
        <w:t xml:space="preserve">the signalling details to support </w:t>
      </w:r>
      <w:r w:rsidR="00BD72CB" w:rsidRPr="00BD72CB">
        <w:rPr>
          <w:rFonts w:ascii="Times New Roman" w:hAnsi="Times New Roman"/>
          <w:sz w:val="22"/>
        </w:rPr>
        <w:t>LTE to NR-NTN IDLE mobility</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4C7D1B5C" w14:textId="5177A23D" w:rsidR="00BD72CB" w:rsidRDefault="00BD72CB" w:rsidP="001D4BFE">
      <w:pPr>
        <w:widowControl/>
        <w:spacing w:beforeLines="50" w:before="156" w:afterLines="50" w:after="156"/>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or this objective it has been noted that </w:t>
      </w:r>
      <w:r w:rsidRPr="00F7067C">
        <w:rPr>
          <w:rFonts w:ascii="Times New Roman" w:hAnsi="Times New Roman"/>
          <w:kern w:val="0"/>
          <w:sz w:val="22"/>
        </w:rPr>
        <w:t xml:space="preserve">the existing signaling introduced for IoT-NTN and mobility procedures between NR TN and </w:t>
      </w:r>
      <w:r w:rsidR="002A280C">
        <w:rPr>
          <w:rFonts w:ascii="Times New Roman" w:hAnsi="Times New Roman"/>
          <w:kern w:val="0"/>
          <w:sz w:val="22"/>
        </w:rPr>
        <w:t>NR-NTN</w:t>
      </w:r>
      <w:r>
        <w:rPr>
          <w:rFonts w:ascii="Times New Roman" w:hAnsi="Times New Roman"/>
          <w:kern w:val="0"/>
          <w:sz w:val="22"/>
        </w:rPr>
        <w:t xml:space="preserve"> shall be reused as much as possible. Following this principle, we provide further analysis and discussion on how to reuse the existing </w:t>
      </w:r>
      <w:r w:rsidR="00376F93">
        <w:rPr>
          <w:rFonts w:ascii="Times New Roman" w:hAnsi="Times New Roman"/>
          <w:kern w:val="0"/>
          <w:sz w:val="22"/>
        </w:rPr>
        <w:t>signaling</w:t>
      </w:r>
      <w:r>
        <w:rPr>
          <w:rFonts w:ascii="Times New Roman" w:hAnsi="Times New Roman"/>
          <w:kern w:val="0"/>
          <w:sz w:val="22"/>
        </w:rPr>
        <w:t>.</w:t>
      </w:r>
    </w:p>
    <w:p w14:paraId="4BE32166" w14:textId="5AD69350" w:rsidR="00A42CBF" w:rsidRDefault="000D43BA" w:rsidP="001D4BFE">
      <w:pPr>
        <w:widowControl/>
        <w:spacing w:beforeLines="50" w:before="156" w:afterLines="50" w:after="156"/>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or </w:t>
      </w:r>
      <w:r w:rsidR="002A280C">
        <w:rPr>
          <w:rFonts w:ascii="Times New Roman" w:hAnsi="Times New Roman"/>
          <w:kern w:val="0"/>
          <w:sz w:val="22"/>
        </w:rPr>
        <w:t>NR-NTN</w:t>
      </w:r>
      <w:r>
        <w:rPr>
          <w:rFonts w:ascii="Times New Roman" w:hAnsi="Times New Roman"/>
          <w:kern w:val="0"/>
          <w:sz w:val="22"/>
        </w:rPr>
        <w:t xml:space="preserve"> the necessary satellite assistance information of neighbour cells is provided in SIB19 as the structure allows to include both serving cell and neighbour cell information. For </w:t>
      </w:r>
      <w:r w:rsidR="002A280C">
        <w:rPr>
          <w:rFonts w:ascii="Times New Roman" w:hAnsi="Times New Roman"/>
          <w:kern w:val="0"/>
          <w:sz w:val="22"/>
        </w:rPr>
        <w:t>IoT-NTN</w:t>
      </w:r>
      <w:r>
        <w:rPr>
          <w:rFonts w:ascii="Times New Roman" w:hAnsi="Times New Roman"/>
          <w:kern w:val="0"/>
          <w:sz w:val="22"/>
        </w:rPr>
        <w:t xml:space="preserve"> things are different as the SIB31 only includes serving cell</w:t>
      </w:r>
      <w:r w:rsidRPr="000D43BA">
        <w:rPr>
          <w:rFonts w:ascii="Times New Roman" w:hAnsi="Times New Roman"/>
          <w:kern w:val="0"/>
          <w:sz w:val="22"/>
        </w:rPr>
        <w:t xml:space="preserve"> </w:t>
      </w:r>
      <w:r>
        <w:rPr>
          <w:rFonts w:ascii="Times New Roman" w:hAnsi="Times New Roman"/>
          <w:kern w:val="0"/>
          <w:sz w:val="22"/>
        </w:rPr>
        <w:t xml:space="preserve">satellite assistance information while SIB33 is used for the neighbour cells. Meanwhile for TN to NTN mobility, it has been supported that an NR TN cell can broadcast SIB19 including only neighbour NTN cell satellite assistance information. The same principle can be simply leveraged by LTE TN, i.e., an LTE TN </w:t>
      </w:r>
      <w:r w:rsidR="00A42CBF">
        <w:rPr>
          <w:rFonts w:ascii="Times New Roman" w:hAnsi="Times New Roman" w:hint="eastAsia"/>
          <w:kern w:val="0"/>
          <w:sz w:val="22"/>
        </w:rPr>
        <w:t>may</w:t>
      </w:r>
      <w:r>
        <w:rPr>
          <w:rFonts w:ascii="Times New Roman" w:hAnsi="Times New Roman"/>
          <w:kern w:val="0"/>
          <w:sz w:val="22"/>
        </w:rPr>
        <w:t xml:space="preserve"> broadcast SIB33 including neighbour NTN cell satellite assistance information.</w:t>
      </w:r>
      <w:r w:rsidR="00A42CBF">
        <w:rPr>
          <w:rFonts w:ascii="Times New Roman" w:hAnsi="Times New Roman" w:hint="eastAsia"/>
          <w:kern w:val="0"/>
          <w:sz w:val="22"/>
        </w:rPr>
        <w:t xml:space="preserve"> However,</w:t>
      </w:r>
      <w:r w:rsidR="00A42CBF" w:rsidRPr="00A42CBF">
        <w:rPr>
          <w:rFonts w:ascii="Times New Roman" w:hAnsi="Times New Roman" w:hint="eastAsia"/>
          <w:kern w:val="0"/>
          <w:sz w:val="22"/>
        </w:rPr>
        <w:t xml:space="preserve"> </w:t>
      </w:r>
      <w:r w:rsidR="00A42CBF">
        <w:rPr>
          <w:rFonts w:ascii="Times New Roman" w:hAnsi="Times New Roman" w:hint="eastAsia"/>
          <w:kern w:val="0"/>
          <w:sz w:val="22"/>
        </w:rPr>
        <w:t>b</w:t>
      </w:r>
      <w:r w:rsidR="00A42CBF">
        <w:rPr>
          <w:rFonts w:ascii="Times New Roman" w:hAnsi="Times New Roman"/>
          <w:kern w:val="0"/>
          <w:sz w:val="22"/>
        </w:rPr>
        <w:t>y reusing SIB33, another case of coexistence of IoT-NTN and NR-NTN may also need to be further considered, i.e., is it possible that a</w:t>
      </w:r>
      <w:r w:rsidR="00A42CBF">
        <w:rPr>
          <w:rFonts w:ascii="Times New Roman" w:hAnsi="Times New Roman" w:hint="eastAsia"/>
          <w:kern w:val="0"/>
          <w:sz w:val="22"/>
        </w:rPr>
        <w:t>n</w:t>
      </w:r>
      <w:r w:rsidR="00A42CBF">
        <w:rPr>
          <w:rFonts w:ascii="Times New Roman" w:hAnsi="Times New Roman"/>
          <w:kern w:val="0"/>
          <w:sz w:val="22"/>
        </w:rPr>
        <w:t xml:space="preserve"> </w:t>
      </w:r>
      <w:r w:rsidR="00A42CBF">
        <w:rPr>
          <w:rFonts w:ascii="Times New Roman" w:hAnsi="Times New Roman" w:hint="eastAsia"/>
          <w:kern w:val="0"/>
          <w:sz w:val="22"/>
        </w:rPr>
        <w:t>LTE</w:t>
      </w:r>
      <w:r w:rsidR="00A42CBF">
        <w:rPr>
          <w:rFonts w:ascii="Times New Roman" w:hAnsi="Times New Roman"/>
          <w:kern w:val="0"/>
          <w:sz w:val="22"/>
        </w:rPr>
        <w:t xml:space="preserve"> TN cell needs to provide satellite assistance information for both IoT-NTN and NR-NTN neighbour cells? In our understanding the precondition of this question is that a</w:t>
      </w:r>
      <w:r w:rsidR="00A42CBF">
        <w:rPr>
          <w:rFonts w:ascii="Times New Roman" w:hAnsi="Times New Roman" w:hint="eastAsia"/>
          <w:kern w:val="0"/>
          <w:sz w:val="22"/>
        </w:rPr>
        <w:t>n</w:t>
      </w:r>
      <w:r w:rsidR="00A42CBF">
        <w:rPr>
          <w:rFonts w:ascii="Times New Roman" w:hAnsi="Times New Roman"/>
          <w:kern w:val="0"/>
          <w:sz w:val="22"/>
        </w:rPr>
        <w:t xml:space="preserve"> </w:t>
      </w:r>
      <w:r w:rsidR="00A42CBF">
        <w:rPr>
          <w:rFonts w:ascii="Times New Roman" w:hAnsi="Times New Roman" w:hint="eastAsia"/>
          <w:kern w:val="0"/>
          <w:sz w:val="22"/>
        </w:rPr>
        <w:t>LTE</w:t>
      </w:r>
      <w:r w:rsidR="00A42CBF">
        <w:rPr>
          <w:rFonts w:ascii="Times New Roman" w:hAnsi="Times New Roman"/>
          <w:kern w:val="0"/>
          <w:sz w:val="22"/>
        </w:rPr>
        <w:t xml:space="preserve"> TN cell needs to provide satellite assistance information for IoT-NTN neighbour cells</w:t>
      </w:r>
      <w:r w:rsidR="00A42CBF">
        <w:rPr>
          <w:rFonts w:ascii="Times New Roman" w:hAnsi="Times New Roman" w:hint="eastAsia"/>
          <w:kern w:val="0"/>
          <w:sz w:val="22"/>
        </w:rPr>
        <w:t>. As RAN2 have decided that NB-IoT</w:t>
      </w:r>
      <w:r w:rsidR="00A42CBF" w:rsidRPr="00871CA2">
        <w:t xml:space="preserve"> </w:t>
      </w:r>
      <w:r w:rsidR="00A42CBF" w:rsidRPr="00871CA2">
        <w:rPr>
          <w:rFonts w:ascii="Times New Roman" w:hAnsi="Times New Roman"/>
          <w:kern w:val="0"/>
          <w:sz w:val="22"/>
        </w:rPr>
        <w:t>UEs are considered not in the scope</w:t>
      </w:r>
      <w:r w:rsidR="00A42CBF">
        <w:rPr>
          <w:rFonts w:ascii="Times New Roman" w:hAnsi="Times New Roman" w:hint="eastAsia"/>
          <w:kern w:val="0"/>
          <w:sz w:val="22"/>
        </w:rPr>
        <w:t>,</w:t>
      </w:r>
      <w:r w:rsidR="00A42CBF">
        <w:rPr>
          <w:rFonts w:ascii="Times New Roman" w:hAnsi="Times New Roman"/>
          <w:kern w:val="0"/>
          <w:sz w:val="22"/>
        </w:rPr>
        <w:t xml:space="preserve"> this is related to the discussion that whether </w:t>
      </w:r>
      <w:r w:rsidR="00A42CBF" w:rsidRPr="003A6949">
        <w:rPr>
          <w:rFonts w:ascii="Times New Roman" w:hAnsi="Times New Roman"/>
          <w:kern w:val="0"/>
          <w:sz w:val="22"/>
        </w:rPr>
        <w:t>eMTC UE</w:t>
      </w:r>
      <w:r w:rsidR="00A42CBF">
        <w:rPr>
          <w:rFonts w:ascii="Times New Roman" w:hAnsi="Times New Roman" w:hint="eastAsia"/>
          <w:kern w:val="0"/>
          <w:sz w:val="22"/>
        </w:rPr>
        <w:t>s</w:t>
      </w:r>
      <w:r w:rsidR="00A42CBF" w:rsidRPr="003A6949">
        <w:rPr>
          <w:rFonts w:ascii="Times New Roman" w:hAnsi="Times New Roman"/>
          <w:kern w:val="0"/>
          <w:sz w:val="22"/>
        </w:rPr>
        <w:t xml:space="preserve"> </w:t>
      </w:r>
      <w:r w:rsidR="00A42CBF">
        <w:rPr>
          <w:rFonts w:ascii="Times New Roman" w:hAnsi="Times New Roman"/>
          <w:kern w:val="0"/>
          <w:sz w:val="22"/>
        </w:rPr>
        <w:t>are</w:t>
      </w:r>
      <w:r w:rsidR="00A42CBF" w:rsidRPr="003A6949">
        <w:rPr>
          <w:rFonts w:ascii="Times New Roman" w:hAnsi="Times New Roman"/>
          <w:kern w:val="0"/>
          <w:sz w:val="22"/>
        </w:rPr>
        <w:t xml:space="preserve"> considered in scope</w:t>
      </w:r>
      <w:r w:rsidR="00A42CBF">
        <w:rPr>
          <w:rFonts w:ascii="Times New Roman" w:hAnsi="Times New Roman"/>
          <w:kern w:val="0"/>
          <w:sz w:val="22"/>
        </w:rPr>
        <w:t>.</w:t>
      </w:r>
    </w:p>
    <w:p w14:paraId="23E17480" w14:textId="77777777" w:rsidR="00A42CBF" w:rsidRPr="003A6949" w:rsidRDefault="00A42CBF" w:rsidP="001D4BFE">
      <w:pPr>
        <w:widowControl/>
        <w:spacing w:beforeLines="50" w:before="156" w:afterLines="50" w:after="156"/>
        <w:rPr>
          <w:rFonts w:ascii="Times New Roman" w:hAnsi="Times New Roman"/>
          <w:b/>
          <w:bCs/>
          <w:kern w:val="0"/>
          <w:sz w:val="22"/>
        </w:rPr>
      </w:pPr>
      <w:r w:rsidRPr="003A6949">
        <w:rPr>
          <w:rFonts w:ascii="Times New Roman" w:hAnsi="Times New Roman"/>
          <w:b/>
          <w:bCs/>
          <w:kern w:val="0"/>
          <w:sz w:val="22"/>
        </w:rPr>
        <w:t>Observation 1: If eMTC UE is in the scope of LTE TN to NR-NTN mobility, it is necessary to study to provide satellite assistance information for both IoT-NTN and NR-NTN neighbour cells in an LTE TN cell.</w:t>
      </w:r>
    </w:p>
    <w:p w14:paraId="6926CDC0" w14:textId="4FD15D56" w:rsidR="00A42CBF" w:rsidRPr="003A6949" w:rsidRDefault="00A42CBF" w:rsidP="001D4BFE">
      <w:pPr>
        <w:widowControl/>
        <w:spacing w:beforeLines="50" w:before="156" w:afterLines="50" w:after="156"/>
        <w:rPr>
          <w:rFonts w:ascii="Times New Roman" w:hAnsi="Times New Roman"/>
          <w:b/>
          <w:bCs/>
          <w:kern w:val="0"/>
          <w:sz w:val="22"/>
        </w:rPr>
      </w:pPr>
      <w:r w:rsidRPr="003A6949">
        <w:rPr>
          <w:rFonts w:ascii="Times New Roman" w:hAnsi="Times New Roman" w:hint="eastAsia"/>
          <w:b/>
          <w:bCs/>
          <w:kern w:val="0"/>
          <w:sz w:val="22"/>
        </w:rPr>
        <w:t>P</w:t>
      </w:r>
      <w:r w:rsidRPr="003A6949">
        <w:rPr>
          <w:rFonts w:ascii="Times New Roman" w:hAnsi="Times New Roman"/>
          <w:b/>
          <w:bCs/>
          <w:kern w:val="0"/>
          <w:sz w:val="22"/>
        </w:rPr>
        <w:t xml:space="preserve">roposal </w:t>
      </w:r>
      <w:r>
        <w:rPr>
          <w:rFonts w:ascii="Times New Roman" w:hAnsi="Times New Roman" w:hint="eastAsia"/>
          <w:b/>
          <w:bCs/>
          <w:kern w:val="0"/>
          <w:sz w:val="22"/>
        </w:rPr>
        <w:t>1</w:t>
      </w:r>
      <w:r w:rsidRPr="003A6949">
        <w:rPr>
          <w:rFonts w:ascii="Times New Roman" w:hAnsi="Times New Roman"/>
          <w:b/>
          <w:bCs/>
          <w:kern w:val="0"/>
          <w:sz w:val="22"/>
        </w:rPr>
        <w:t>: RAN2 to decide whether eMTC UE is in the scope of LTE TN to NR-NTN mobility.</w:t>
      </w:r>
    </w:p>
    <w:p w14:paraId="0B94194E" w14:textId="5E53706C" w:rsidR="00B638F3" w:rsidRDefault="001D4BFE" w:rsidP="001D4BFE">
      <w:pPr>
        <w:widowControl/>
        <w:spacing w:beforeLines="50" w:before="156" w:afterLines="50" w:after="156"/>
        <w:rPr>
          <w:rFonts w:ascii="Times New Roman" w:hAnsi="Times New Roman"/>
          <w:kern w:val="0"/>
          <w:sz w:val="22"/>
        </w:rPr>
      </w:pPr>
      <w:r>
        <w:rPr>
          <w:rFonts w:ascii="Times New Roman" w:hAnsi="Times New Roman" w:hint="eastAsia"/>
          <w:kern w:val="0"/>
          <w:sz w:val="22"/>
        </w:rPr>
        <w:t xml:space="preserve">For providing </w:t>
      </w:r>
      <w:r w:rsidRPr="001D4BFE">
        <w:rPr>
          <w:rFonts w:ascii="Times New Roman" w:hAnsi="Times New Roman"/>
          <w:kern w:val="0"/>
          <w:sz w:val="22"/>
        </w:rPr>
        <w:t>NR satellite assistance information</w:t>
      </w:r>
      <w:r>
        <w:rPr>
          <w:rFonts w:ascii="Times New Roman" w:hAnsi="Times New Roman" w:hint="eastAsia"/>
          <w:kern w:val="0"/>
          <w:sz w:val="22"/>
        </w:rPr>
        <w:t>, the following 3 options were proposed in the latest meeting but no decision was made:</w:t>
      </w:r>
    </w:p>
    <w:p w14:paraId="5BED970E" w14:textId="6D9656A3" w:rsidR="001D4BFE" w:rsidRPr="001D4BFE" w:rsidRDefault="001D4BFE" w:rsidP="001D4BFE">
      <w:pPr>
        <w:pStyle w:val="a6"/>
        <w:numPr>
          <w:ilvl w:val="0"/>
          <w:numId w:val="47"/>
        </w:numPr>
        <w:spacing w:after="0"/>
        <w:ind w:left="442" w:firstLineChars="0" w:hanging="442"/>
        <w:rPr>
          <w:sz w:val="22"/>
        </w:rPr>
      </w:pPr>
      <w:r w:rsidRPr="001D4BFE">
        <w:rPr>
          <w:sz w:val="22"/>
        </w:rPr>
        <w:t>Option 1: Introduce a new SIB to include the NR satellite assistance information.</w:t>
      </w:r>
    </w:p>
    <w:p w14:paraId="44C8E155" w14:textId="3B868DBF" w:rsidR="001D4BFE" w:rsidRPr="001D4BFE" w:rsidRDefault="001D4BFE" w:rsidP="001D4BFE">
      <w:pPr>
        <w:pStyle w:val="a6"/>
        <w:numPr>
          <w:ilvl w:val="0"/>
          <w:numId w:val="47"/>
        </w:numPr>
        <w:spacing w:after="0"/>
        <w:ind w:left="442" w:firstLineChars="0" w:hanging="442"/>
        <w:rPr>
          <w:sz w:val="22"/>
        </w:rPr>
      </w:pPr>
      <w:r w:rsidRPr="001D4BFE">
        <w:rPr>
          <w:sz w:val="22"/>
        </w:rPr>
        <w:t>Option 2: Define new IE for NR satellite assistance information and define separate neighbour satellite information list to provide the NR satellite information in SIB33.</w:t>
      </w:r>
    </w:p>
    <w:p w14:paraId="7D475E05" w14:textId="660B360D" w:rsidR="001D4BFE" w:rsidRPr="001D4BFE" w:rsidRDefault="001D4BFE" w:rsidP="001D4BFE">
      <w:pPr>
        <w:pStyle w:val="a6"/>
        <w:numPr>
          <w:ilvl w:val="0"/>
          <w:numId w:val="47"/>
        </w:numPr>
        <w:spacing w:after="0"/>
        <w:ind w:left="442" w:firstLineChars="0" w:hanging="442"/>
        <w:rPr>
          <w:sz w:val="22"/>
          <w:lang w:val="en-US"/>
        </w:rPr>
      </w:pPr>
      <w:r w:rsidRPr="001D4BFE">
        <w:rPr>
          <w:sz w:val="22"/>
        </w:rPr>
        <w:t xml:space="preserve">Option 3: Extend the </w:t>
      </w:r>
      <w:r w:rsidRPr="00573957">
        <w:rPr>
          <w:i/>
          <w:iCs/>
          <w:sz w:val="22"/>
        </w:rPr>
        <w:t>NeighSatelliteInfo</w:t>
      </w:r>
      <w:r w:rsidRPr="001D4BFE">
        <w:rPr>
          <w:sz w:val="22"/>
        </w:rPr>
        <w:t xml:space="preserve"> defined for IoT NTN to include the parameters needed for NR satellite, and reuse the </w:t>
      </w:r>
      <w:r w:rsidRPr="00573957">
        <w:rPr>
          <w:i/>
          <w:iCs/>
          <w:sz w:val="22"/>
        </w:rPr>
        <w:t>neighSatelliteInfoList</w:t>
      </w:r>
      <w:r w:rsidRPr="001D4BFE">
        <w:rPr>
          <w:sz w:val="22"/>
        </w:rPr>
        <w:t xml:space="preserve"> defined in SIB33 to provide either NR or IoT NTN information.</w:t>
      </w:r>
    </w:p>
    <w:p w14:paraId="2DCF738B" w14:textId="0339F747" w:rsidR="000C15F0" w:rsidRDefault="00573957" w:rsidP="001D4BFE">
      <w:pPr>
        <w:widowControl/>
        <w:spacing w:beforeLines="50" w:before="156" w:afterLines="50" w:after="156"/>
        <w:rPr>
          <w:rFonts w:ascii="Times New Roman" w:hAnsi="Times New Roman"/>
          <w:kern w:val="0"/>
          <w:sz w:val="22"/>
        </w:rPr>
      </w:pPr>
      <w:r>
        <w:rPr>
          <w:rFonts w:ascii="Times New Roman" w:hAnsi="Times New Roman" w:hint="eastAsia"/>
          <w:kern w:val="0"/>
          <w:sz w:val="22"/>
        </w:rPr>
        <w:t>In our understanding Option 1 has the most specification impact, and there seems no sufficient reason to introduce a new SIB especially considering Option 2 can do the work by adding new IE. Meanwhile i</w:t>
      </w:r>
      <w:r w:rsidR="000C15F0">
        <w:rPr>
          <w:rFonts w:ascii="Times New Roman" w:hAnsi="Times New Roman" w:hint="eastAsia"/>
          <w:kern w:val="0"/>
          <w:sz w:val="22"/>
        </w:rPr>
        <w:t xml:space="preserve">t can be observed that from the structure perspective Option 3 has the least specification impact as no new SIB or IE will be introduced. However as we discussed above, if </w:t>
      </w:r>
      <w:r w:rsidR="000C15F0" w:rsidRPr="000C15F0">
        <w:rPr>
          <w:rFonts w:ascii="Times New Roman" w:hAnsi="Times New Roman"/>
          <w:kern w:val="0"/>
          <w:sz w:val="22"/>
        </w:rPr>
        <w:t>eMTC UE is in the scope of LTE TN to NR-NTN mobility</w:t>
      </w:r>
      <w:r w:rsidR="000C15F0">
        <w:rPr>
          <w:rFonts w:ascii="Times New Roman" w:hAnsi="Times New Roman" w:hint="eastAsia"/>
          <w:kern w:val="0"/>
          <w:sz w:val="22"/>
        </w:rPr>
        <w:t xml:space="preserve">, the case of providing </w:t>
      </w:r>
      <w:r w:rsidR="000C15F0" w:rsidRPr="000C15F0">
        <w:rPr>
          <w:rFonts w:ascii="Times New Roman" w:hAnsi="Times New Roman"/>
          <w:kern w:val="0"/>
          <w:sz w:val="22"/>
        </w:rPr>
        <w:t>satellite assistance information for both IoT-NTN and NR-NTN neighbour cells</w:t>
      </w:r>
      <w:r w:rsidR="000C15F0">
        <w:rPr>
          <w:rFonts w:ascii="Times New Roman" w:hAnsi="Times New Roman" w:hint="eastAsia"/>
          <w:kern w:val="0"/>
          <w:sz w:val="22"/>
        </w:rPr>
        <w:t xml:space="preserve"> has to be considered. As a result, in Option 3 we have to study how to include both as well as how to </w:t>
      </w:r>
      <w:r w:rsidR="000C15F0">
        <w:rPr>
          <w:rFonts w:ascii="Times New Roman" w:hAnsi="Times New Roman"/>
          <w:kern w:val="0"/>
          <w:sz w:val="22"/>
        </w:rPr>
        <w:t>differentiate</w:t>
      </w:r>
      <w:r w:rsidR="000C15F0">
        <w:rPr>
          <w:rFonts w:ascii="Times New Roman" w:hAnsi="Times New Roman" w:hint="eastAsia"/>
          <w:kern w:val="0"/>
          <w:sz w:val="22"/>
        </w:rPr>
        <w:t xml:space="preserve"> them. Meanwhile </w:t>
      </w:r>
      <w:r w:rsidR="00303F14">
        <w:rPr>
          <w:rFonts w:ascii="Times New Roman" w:hAnsi="Times New Roman" w:hint="eastAsia"/>
          <w:kern w:val="0"/>
          <w:sz w:val="22"/>
        </w:rPr>
        <w:t>the restriction of</w:t>
      </w:r>
      <w:r w:rsidR="000C15F0">
        <w:rPr>
          <w:rFonts w:ascii="Times New Roman" w:hAnsi="Times New Roman" w:hint="eastAsia"/>
          <w:kern w:val="0"/>
          <w:sz w:val="22"/>
        </w:rPr>
        <w:t xml:space="preserve"> </w:t>
      </w:r>
      <w:r w:rsidR="000C15F0" w:rsidRPr="000C15F0">
        <w:rPr>
          <w:rFonts w:ascii="Times New Roman" w:hAnsi="Times New Roman"/>
          <w:kern w:val="0"/>
          <w:sz w:val="22"/>
        </w:rPr>
        <w:t xml:space="preserve">maximum </w:t>
      </w:r>
      <w:r w:rsidR="00303F14">
        <w:rPr>
          <w:rFonts w:ascii="Times New Roman" w:hAnsi="Times New Roman" w:hint="eastAsia"/>
          <w:kern w:val="0"/>
          <w:sz w:val="22"/>
        </w:rPr>
        <w:t xml:space="preserve">4 </w:t>
      </w:r>
      <w:r w:rsidR="000C15F0" w:rsidRPr="000C15F0">
        <w:rPr>
          <w:rFonts w:ascii="Times New Roman" w:hAnsi="Times New Roman"/>
          <w:kern w:val="0"/>
          <w:sz w:val="22"/>
        </w:rPr>
        <w:t>satellite</w:t>
      </w:r>
      <w:r w:rsidR="00303F14">
        <w:rPr>
          <w:rFonts w:ascii="Times New Roman" w:hAnsi="Times New Roman" w:hint="eastAsia"/>
          <w:kern w:val="0"/>
          <w:sz w:val="22"/>
        </w:rPr>
        <w:t>s is also to be considered.</w:t>
      </w:r>
      <w:r>
        <w:rPr>
          <w:rFonts w:ascii="Times New Roman" w:hAnsi="Times New Roman" w:hint="eastAsia"/>
          <w:kern w:val="0"/>
          <w:sz w:val="22"/>
        </w:rPr>
        <w:t xml:space="preserve"> For Option 2 things go easier as different IE names can be used.</w:t>
      </w:r>
    </w:p>
    <w:p w14:paraId="54BF7AC5" w14:textId="15F3DFA4" w:rsidR="00303F14" w:rsidRPr="00303F14" w:rsidRDefault="00303F14" w:rsidP="001D4BFE">
      <w:pPr>
        <w:widowControl/>
        <w:spacing w:beforeLines="50" w:before="156" w:afterLines="50" w:after="156"/>
        <w:rPr>
          <w:rFonts w:ascii="Times New Roman" w:hAnsi="Times New Roman"/>
          <w:b/>
          <w:bCs/>
          <w:kern w:val="0"/>
          <w:sz w:val="22"/>
        </w:rPr>
      </w:pPr>
      <w:r w:rsidRPr="00303F14">
        <w:rPr>
          <w:rFonts w:ascii="Times New Roman" w:hAnsi="Times New Roman" w:hint="eastAsia"/>
          <w:b/>
          <w:bCs/>
          <w:kern w:val="0"/>
          <w:sz w:val="22"/>
        </w:rPr>
        <w:t xml:space="preserve">Observation 2: If providing </w:t>
      </w:r>
      <w:r w:rsidRPr="00303F14">
        <w:rPr>
          <w:rFonts w:ascii="Times New Roman" w:hAnsi="Times New Roman"/>
          <w:b/>
          <w:bCs/>
          <w:kern w:val="0"/>
          <w:sz w:val="22"/>
        </w:rPr>
        <w:t>satellite assistance information for both IoT-NTN and NR-NTN neighbour cells in an LTE TN cell</w:t>
      </w:r>
      <w:r w:rsidRPr="00303F14">
        <w:rPr>
          <w:rFonts w:ascii="Times New Roman" w:hAnsi="Times New Roman" w:hint="eastAsia"/>
          <w:b/>
          <w:bCs/>
          <w:kern w:val="0"/>
          <w:sz w:val="22"/>
        </w:rPr>
        <w:t xml:space="preserve"> is a valid case, Option 3 needs to further consider how to include both.</w:t>
      </w:r>
    </w:p>
    <w:p w14:paraId="16417F46" w14:textId="4B63BEAA" w:rsidR="00303F14" w:rsidRPr="0020780F" w:rsidRDefault="00D80080" w:rsidP="001D4BFE">
      <w:pPr>
        <w:widowControl/>
        <w:spacing w:beforeLines="50" w:before="156" w:afterLines="50" w:after="156"/>
        <w:rPr>
          <w:rFonts w:ascii="Times New Roman" w:hAnsi="Times New Roman"/>
          <w:b/>
          <w:bCs/>
          <w:kern w:val="0"/>
          <w:sz w:val="22"/>
        </w:rPr>
      </w:pPr>
      <w:r w:rsidRPr="0020780F">
        <w:rPr>
          <w:rFonts w:ascii="Times New Roman" w:hAnsi="Times New Roman" w:hint="eastAsia"/>
          <w:b/>
          <w:bCs/>
          <w:kern w:val="0"/>
          <w:sz w:val="22"/>
        </w:rPr>
        <w:lastRenderedPageBreak/>
        <w:t xml:space="preserve">Proposal 2: </w:t>
      </w:r>
      <w:r w:rsidR="00FF1D49">
        <w:rPr>
          <w:rFonts w:ascii="Times New Roman" w:hAnsi="Times New Roman" w:hint="eastAsia"/>
          <w:b/>
          <w:bCs/>
          <w:kern w:val="0"/>
          <w:sz w:val="22"/>
        </w:rPr>
        <w:t xml:space="preserve">For </w:t>
      </w:r>
      <w:r w:rsidR="00FF1D49" w:rsidRPr="00FF1D49">
        <w:rPr>
          <w:rFonts w:ascii="Times New Roman" w:hAnsi="Times New Roman"/>
          <w:b/>
          <w:bCs/>
          <w:kern w:val="0"/>
          <w:sz w:val="22"/>
        </w:rPr>
        <w:t>NR satellite assistance information</w:t>
      </w:r>
      <w:r w:rsidR="00FF1D49">
        <w:rPr>
          <w:rFonts w:ascii="Times New Roman" w:hAnsi="Times New Roman" w:hint="eastAsia"/>
          <w:b/>
          <w:bCs/>
          <w:kern w:val="0"/>
          <w:sz w:val="22"/>
        </w:rPr>
        <w:t xml:space="preserve"> provisioning, RAN2 adopts Option 2, i.e. d</w:t>
      </w:r>
      <w:r w:rsidR="00FF1D49" w:rsidRPr="00FF1D49">
        <w:rPr>
          <w:rFonts w:ascii="Times New Roman" w:hAnsi="Times New Roman"/>
          <w:b/>
          <w:bCs/>
          <w:kern w:val="0"/>
          <w:sz w:val="22"/>
        </w:rPr>
        <w:t>efine new IE for NR satellite assistance information and define separate neighbour satellite information list to provide the NR satellite information in SIB33</w:t>
      </w:r>
      <w:r w:rsidR="0020780F" w:rsidRPr="0020780F">
        <w:rPr>
          <w:rFonts w:ascii="Times New Roman" w:hAnsi="Times New Roman" w:hint="eastAsia"/>
          <w:b/>
          <w:bCs/>
          <w:kern w:val="0"/>
          <w:sz w:val="22"/>
        </w:rPr>
        <w:t>.</w:t>
      </w:r>
    </w:p>
    <w:p w14:paraId="7DD31E42" w14:textId="6B89293D" w:rsidR="00871CA2" w:rsidRDefault="00021E68" w:rsidP="00871CA2">
      <w:pPr>
        <w:widowControl/>
        <w:rPr>
          <w:rFonts w:ascii="Times New Roman" w:hAnsi="Times New Roman"/>
          <w:kern w:val="0"/>
          <w:sz w:val="22"/>
        </w:rPr>
      </w:pPr>
      <w:r>
        <w:rPr>
          <w:rFonts w:ascii="Times New Roman" w:hAnsi="Times New Roman"/>
          <w:kern w:val="0"/>
          <w:sz w:val="22"/>
        </w:rPr>
        <w:t xml:space="preserve">In the scenario of </w:t>
      </w:r>
      <w:r w:rsidRPr="00021E68">
        <w:rPr>
          <w:rFonts w:ascii="Times New Roman" w:hAnsi="Times New Roman"/>
          <w:kern w:val="0"/>
          <w:sz w:val="22"/>
        </w:rPr>
        <w:t>LTE TN to NR-NTN mobility</w:t>
      </w:r>
      <w:r>
        <w:rPr>
          <w:rFonts w:ascii="Times New Roman" w:hAnsi="Times New Roman"/>
          <w:kern w:val="0"/>
          <w:sz w:val="22"/>
        </w:rPr>
        <w:t>, the serving cell is an LTE TN cell wherein signal-strength-based criteria are applied for neighbour cell measurement initiation. Although NTN introduced time/distance-based criteria as well but it is obvious that these time/distance-based criteria is not needed for a serving TN cell, regardless the serving cell is LTE or NR.</w:t>
      </w:r>
      <w:r w:rsidR="00871CA2" w:rsidRPr="00871CA2">
        <w:rPr>
          <w:rFonts w:ascii="Times New Roman" w:hAnsi="Times New Roman"/>
          <w:kern w:val="0"/>
          <w:sz w:val="22"/>
        </w:rPr>
        <w:t xml:space="preserve"> </w:t>
      </w:r>
      <w:r w:rsidR="00871CA2">
        <w:rPr>
          <w:rFonts w:ascii="Times New Roman" w:hAnsi="Times New Roman"/>
          <w:kern w:val="0"/>
          <w:sz w:val="22"/>
        </w:rPr>
        <w:t xml:space="preserve">For time/distance-based cell reselection which is not supported in NTN mobility, there is </w:t>
      </w:r>
      <w:r w:rsidR="00871CA2">
        <w:rPr>
          <w:rFonts w:ascii="Times New Roman" w:hAnsi="Times New Roman" w:hint="eastAsia"/>
          <w:kern w:val="0"/>
          <w:sz w:val="22"/>
        </w:rPr>
        <w:t xml:space="preserve">also </w:t>
      </w:r>
      <w:r w:rsidR="00871CA2">
        <w:rPr>
          <w:rFonts w:ascii="Times New Roman" w:hAnsi="Times New Roman"/>
          <w:kern w:val="0"/>
          <w:sz w:val="22"/>
        </w:rPr>
        <w:t>no further motivation to have this in TN to NTN mobility.</w:t>
      </w:r>
    </w:p>
    <w:p w14:paraId="5D71E695" w14:textId="3C2BEFA5" w:rsidR="00021E68" w:rsidRPr="0017103D" w:rsidRDefault="00021E68" w:rsidP="00376F93">
      <w:pPr>
        <w:widowControl/>
        <w:rPr>
          <w:rFonts w:ascii="Times New Roman" w:hAnsi="Times New Roman"/>
          <w:b/>
          <w:bCs/>
          <w:kern w:val="0"/>
          <w:sz w:val="22"/>
        </w:rPr>
      </w:pPr>
      <w:r w:rsidRPr="0017103D">
        <w:rPr>
          <w:rFonts w:ascii="Times New Roman" w:hAnsi="Times New Roman"/>
          <w:b/>
          <w:bCs/>
          <w:kern w:val="0"/>
          <w:sz w:val="22"/>
        </w:rPr>
        <w:t xml:space="preserve">Proposal </w:t>
      </w:r>
      <w:r w:rsidR="00871CA2">
        <w:rPr>
          <w:rFonts w:ascii="Times New Roman" w:hAnsi="Times New Roman" w:hint="eastAsia"/>
          <w:b/>
          <w:bCs/>
          <w:kern w:val="0"/>
          <w:sz w:val="22"/>
        </w:rPr>
        <w:t>3</w:t>
      </w:r>
      <w:r w:rsidRPr="0017103D">
        <w:rPr>
          <w:rFonts w:ascii="Times New Roman" w:hAnsi="Times New Roman"/>
          <w:b/>
          <w:bCs/>
          <w:kern w:val="0"/>
          <w:sz w:val="22"/>
        </w:rPr>
        <w:t xml:space="preserve">: </w:t>
      </w:r>
      <w:r w:rsidR="00871CA2">
        <w:rPr>
          <w:rFonts w:ascii="Times New Roman" w:hAnsi="Times New Roman" w:hint="eastAsia"/>
          <w:b/>
          <w:bCs/>
          <w:kern w:val="0"/>
          <w:sz w:val="22"/>
        </w:rPr>
        <w:t xml:space="preserve">Confirm the working assumption: </w:t>
      </w:r>
      <w:r w:rsidR="00871CA2" w:rsidRPr="00871CA2">
        <w:rPr>
          <w:rFonts w:ascii="Times New Roman" w:hAnsi="Times New Roman"/>
          <w:b/>
          <w:bCs/>
          <w:kern w:val="0"/>
          <w:sz w:val="22"/>
        </w:rPr>
        <w:t>NR NTN cell reselection evaluation is based on RRM measurements as legacy; no spec impact foreseen for EUTRA TN to NR NTN cell</w:t>
      </w:r>
      <w:r w:rsidR="0017103D" w:rsidRPr="0017103D">
        <w:rPr>
          <w:rFonts w:ascii="Times New Roman" w:hAnsi="Times New Roman"/>
          <w:b/>
          <w:bCs/>
          <w:kern w:val="0"/>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523016C" w:rsidR="009A4608" w:rsidRDefault="00886071" w:rsidP="0020780F">
      <w:pPr>
        <w:spacing w:beforeLines="50" w:before="156" w:afterLines="50" w:after="156"/>
        <w:rPr>
          <w:rFonts w:ascii="Times New Roman" w:hAnsi="Times New Roman"/>
          <w:sz w:val="22"/>
        </w:rPr>
      </w:pPr>
      <w:r w:rsidRPr="00886071">
        <w:rPr>
          <w:rFonts w:ascii="Times New Roman" w:hAnsi="Times New Roman"/>
          <w:sz w:val="22"/>
        </w:rPr>
        <w:t>In this contribution we</w:t>
      </w:r>
      <w:r w:rsidR="00CD7C3D">
        <w:rPr>
          <w:rFonts w:ascii="Times New Roman" w:hAnsi="Times New Roman"/>
          <w:sz w:val="22"/>
        </w:rPr>
        <w:t xml:space="preserve"> discuss </w:t>
      </w:r>
      <w:r w:rsidR="00E8596A">
        <w:rPr>
          <w:rFonts w:ascii="Times New Roman" w:hAnsi="Times New Roman"/>
          <w:sz w:val="22"/>
        </w:rPr>
        <w:t xml:space="preserve">the signalling details to support </w:t>
      </w:r>
      <w:r w:rsidR="00E8596A" w:rsidRPr="00BD72CB">
        <w:rPr>
          <w:rFonts w:ascii="Times New Roman" w:hAnsi="Times New Roman"/>
          <w:sz w:val="22"/>
        </w:rPr>
        <w:t>LTE to NR-NTN IDLE mobility</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FBB9A41" w14:textId="77777777" w:rsidR="0020780F" w:rsidRPr="003A6949" w:rsidRDefault="0020780F" w:rsidP="0020780F">
      <w:pPr>
        <w:widowControl/>
        <w:spacing w:beforeLines="50" w:before="156" w:afterLines="50" w:after="156"/>
        <w:rPr>
          <w:rFonts w:ascii="Times New Roman" w:hAnsi="Times New Roman"/>
          <w:b/>
          <w:bCs/>
          <w:kern w:val="0"/>
          <w:sz w:val="22"/>
        </w:rPr>
      </w:pPr>
      <w:r w:rsidRPr="003A6949">
        <w:rPr>
          <w:rFonts w:ascii="Times New Roman" w:hAnsi="Times New Roman"/>
          <w:b/>
          <w:bCs/>
          <w:kern w:val="0"/>
          <w:sz w:val="22"/>
        </w:rPr>
        <w:t>Observation 1: If eMTC UE is in the scope of LTE TN to NR-NTN mobility, it is necessary to study to provide satellite assistance information for both IoT-NTN and NR-NTN neighbour cells in an LTE TN cell.</w:t>
      </w:r>
    </w:p>
    <w:p w14:paraId="7B1978F7" w14:textId="77777777" w:rsidR="0020780F" w:rsidRPr="00303F14" w:rsidRDefault="0020780F" w:rsidP="0020780F">
      <w:pPr>
        <w:widowControl/>
        <w:spacing w:beforeLines="50" w:before="156" w:afterLines="50" w:after="156"/>
        <w:rPr>
          <w:rFonts w:ascii="Times New Roman" w:hAnsi="Times New Roman"/>
          <w:b/>
          <w:bCs/>
          <w:kern w:val="0"/>
          <w:sz w:val="22"/>
        </w:rPr>
      </w:pPr>
      <w:r w:rsidRPr="00303F14">
        <w:rPr>
          <w:rFonts w:ascii="Times New Roman" w:hAnsi="Times New Roman" w:hint="eastAsia"/>
          <w:b/>
          <w:bCs/>
          <w:kern w:val="0"/>
          <w:sz w:val="22"/>
        </w:rPr>
        <w:t xml:space="preserve">Observation 2: If providing </w:t>
      </w:r>
      <w:r w:rsidRPr="00303F14">
        <w:rPr>
          <w:rFonts w:ascii="Times New Roman" w:hAnsi="Times New Roman"/>
          <w:b/>
          <w:bCs/>
          <w:kern w:val="0"/>
          <w:sz w:val="22"/>
        </w:rPr>
        <w:t>satellite assistance information for both IoT-NTN and NR-NTN neighbour cells in an LTE TN cell</w:t>
      </w:r>
      <w:r w:rsidRPr="00303F14">
        <w:rPr>
          <w:rFonts w:ascii="Times New Roman" w:hAnsi="Times New Roman" w:hint="eastAsia"/>
          <w:b/>
          <w:bCs/>
          <w:kern w:val="0"/>
          <w:sz w:val="22"/>
        </w:rPr>
        <w:t xml:space="preserve"> is a valid case, Option 3 needs to further consider how to include both.</w:t>
      </w:r>
    </w:p>
    <w:p w14:paraId="4107CB1E" w14:textId="581133EA" w:rsidR="00A90536" w:rsidRDefault="009A4608" w:rsidP="0020780F">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44808662" w14:textId="77777777" w:rsidR="0020780F" w:rsidRPr="003A6949" w:rsidRDefault="0020780F" w:rsidP="0020780F">
      <w:pPr>
        <w:widowControl/>
        <w:spacing w:beforeLines="50" w:before="156" w:afterLines="50" w:after="156"/>
        <w:rPr>
          <w:rFonts w:ascii="Times New Roman" w:hAnsi="Times New Roman"/>
          <w:b/>
          <w:bCs/>
          <w:kern w:val="0"/>
          <w:sz w:val="22"/>
        </w:rPr>
      </w:pPr>
      <w:r w:rsidRPr="003A6949">
        <w:rPr>
          <w:rFonts w:ascii="Times New Roman" w:hAnsi="Times New Roman" w:hint="eastAsia"/>
          <w:b/>
          <w:bCs/>
          <w:kern w:val="0"/>
          <w:sz w:val="22"/>
        </w:rPr>
        <w:t>P</w:t>
      </w:r>
      <w:r w:rsidRPr="003A6949">
        <w:rPr>
          <w:rFonts w:ascii="Times New Roman" w:hAnsi="Times New Roman"/>
          <w:b/>
          <w:bCs/>
          <w:kern w:val="0"/>
          <w:sz w:val="22"/>
        </w:rPr>
        <w:t xml:space="preserve">roposal </w:t>
      </w:r>
      <w:r>
        <w:rPr>
          <w:rFonts w:ascii="Times New Roman" w:hAnsi="Times New Roman" w:hint="eastAsia"/>
          <w:b/>
          <w:bCs/>
          <w:kern w:val="0"/>
          <w:sz w:val="22"/>
        </w:rPr>
        <w:t>1</w:t>
      </w:r>
      <w:r w:rsidRPr="003A6949">
        <w:rPr>
          <w:rFonts w:ascii="Times New Roman" w:hAnsi="Times New Roman"/>
          <w:b/>
          <w:bCs/>
          <w:kern w:val="0"/>
          <w:sz w:val="22"/>
        </w:rPr>
        <w:t>: RAN2 to decide whether eMTC UE is in the scope of LTE TN to NR-NTN mobility.</w:t>
      </w:r>
    </w:p>
    <w:p w14:paraId="04E42A14" w14:textId="77777777" w:rsidR="00FF1D49" w:rsidRPr="0020780F" w:rsidRDefault="00FF1D49" w:rsidP="00FF1D49">
      <w:pPr>
        <w:widowControl/>
        <w:spacing w:beforeLines="50" w:before="156" w:afterLines="50" w:after="156"/>
        <w:rPr>
          <w:rFonts w:ascii="Times New Roman" w:hAnsi="Times New Roman"/>
          <w:b/>
          <w:bCs/>
          <w:kern w:val="0"/>
          <w:sz w:val="22"/>
        </w:rPr>
      </w:pPr>
      <w:r w:rsidRPr="0020780F">
        <w:rPr>
          <w:rFonts w:ascii="Times New Roman" w:hAnsi="Times New Roman" w:hint="eastAsia"/>
          <w:b/>
          <w:bCs/>
          <w:kern w:val="0"/>
          <w:sz w:val="22"/>
        </w:rPr>
        <w:t xml:space="preserve">Proposal 2: </w:t>
      </w:r>
      <w:r>
        <w:rPr>
          <w:rFonts w:ascii="Times New Roman" w:hAnsi="Times New Roman" w:hint="eastAsia"/>
          <w:b/>
          <w:bCs/>
          <w:kern w:val="0"/>
          <w:sz w:val="22"/>
        </w:rPr>
        <w:t xml:space="preserve">For </w:t>
      </w:r>
      <w:r w:rsidRPr="00FF1D49">
        <w:rPr>
          <w:rFonts w:ascii="Times New Roman" w:hAnsi="Times New Roman"/>
          <w:b/>
          <w:bCs/>
          <w:kern w:val="0"/>
          <w:sz w:val="22"/>
        </w:rPr>
        <w:t>NR satellite assistance information</w:t>
      </w:r>
      <w:r>
        <w:rPr>
          <w:rFonts w:ascii="Times New Roman" w:hAnsi="Times New Roman" w:hint="eastAsia"/>
          <w:b/>
          <w:bCs/>
          <w:kern w:val="0"/>
          <w:sz w:val="22"/>
        </w:rPr>
        <w:t xml:space="preserve"> provisioning, RAN2 adopts Option 2, i.e. d</w:t>
      </w:r>
      <w:r w:rsidRPr="00FF1D49">
        <w:rPr>
          <w:rFonts w:ascii="Times New Roman" w:hAnsi="Times New Roman"/>
          <w:b/>
          <w:bCs/>
          <w:kern w:val="0"/>
          <w:sz w:val="22"/>
        </w:rPr>
        <w:t>efine new IE for NR satellite assistance information and define separate neighbour satellite information list to provide the NR satellite information in SIB33</w:t>
      </w:r>
      <w:r w:rsidRPr="0020780F">
        <w:rPr>
          <w:rFonts w:ascii="Times New Roman" w:hAnsi="Times New Roman" w:hint="eastAsia"/>
          <w:b/>
          <w:bCs/>
          <w:kern w:val="0"/>
          <w:sz w:val="22"/>
        </w:rPr>
        <w:t>.</w:t>
      </w:r>
    </w:p>
    <w:p w14:paraId="18478002" w14:textId="40BC1B2A" w:rsidR="005C389C" w:rsidRPr="0020780F" w:rsidRDefault="0020780F" w:rsidP="0020780F">
      <w:pPr>
        <w:widowControl/>
        <w:spacing w:beforeLines="50" w:before="156" w:afterLines="50" w:after="156"/>
        <w:rPr>
          <w:rFonts w:ascii="Times New Roman" w:hAnsi="Times New Roman"/>
          <w:b/>
          <w:bCs/>
          <w:kern w:val="0"/>
          <w:sz w:val="22"/>
        </w:rPr>
      </w:pPr>
      <w:r w:rsidRPr="0017103D">
        <w:rPr>
          <w:rFonts w:ascii="Times New Roman" w:hAnsi="Times New Roman"/>
          <w:b/>
          <w:bCs/>
          <w:kern w:val="0"/>
          <w:sz w:val="22"/>
        </w:rPr>
        <w:t xml:space="preserve">Proposal </w:t>
      </w:r>
      <w:r>
        <w:rPr>
          <w:rFonts w:ascii="Times New Roman" w:hAnsi="Times New Roman" w:hint="eastAsia"/>
          <w:b/>
          <w:bCs/>
          <w:kern w:val="0"/>
          <w:sz w:val="22"/>
        </w:rPr>
        <w:t>3</w:t>
      </w:r>
      <w:r w:rsidRPr="0017103D">
        <w:rPr>
          <w:rFonts w:ascii="Times New Roman" w:hAnsi="Times New Roman"/>
          <w:b/>
          <w:bCs/>
          <w:kern w:val="0"/>
          <w:sz w:val="22"/>
        </w:rPr>
        <w:t xml:space="preserve">: </w:t>
      </w:r>
      <w:r>
        <w:rPr>
          <w:rFonts w:ascii="Times New Roman" w:hAnsi="Times New Roman" w:hint="eastAsia"/>
          <w:b/>
          <w:bCs/>
          <w:kern w:val="0"/>
          <w:sz w:val="22"/>
        </w:rPr>
        <w:t xml:space="preserve">Confirm the working assumption: </w:t>
      </w:r>
      <w:r w:rsidRPr="00871CA2">
        <w:rPr>
          <w:rFonts w:ascii="Times New Roman" w:hAnsi="Times New Roman"/>
          <w:b/>
          <w:bCs/>
          <w:kern w:val="0"/>
          <w:sz w:val="22"/>
        </w:rPr>
        <w:t>NR NTN cell reselection evaluation is based on RRM measurements as legacy; no spec impact foreseen for EUTRA TN to NR NTN cell</w:t>
      </w:r>
      <w:r w:rsidRPr="0017103D">
        <w:rPr>
          <w:rFonts w:ascii="Times New Roman" w:hAnsi="Times New Roman"/>
          <w:b/>
          <w:bCs/>
          <w:kern w:val="0"/>
          <w:sz w:val="22"/>
        </w:rPr>
        <w:t>.</w:t>
      </w:r>
    </w:p>
    <w:sectPr w:rsidR="005C389C" w:rsidRPr="0020780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3F57C" w14:textId="77777777" w:rsidR="003C42E7" w:rsidRDefault="003C42E7">
      <w:r>
        <w:separator/>
      </w:r>
    </w:p>
  </w:endnote>
  <w:endnote w:type="continuationSeparator" w:id="0">
    <w:p w14:paraId="322FB74B" w14:textId="77777777" w:rsidR="003C42E7" w:rsidRDefault="003C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B885" w14:textId="77777777" w:rsidR="003C42E7" w:rsidRDefault="003C42E7">
      <w:r>
        <w:separator/>
      </w:r>
    </w:p>
  </w:footnote>
  <w:footnote w:type="continuationSeparator" w:id="0">
    <w:p w14:paraId="1402349A" w14:textId="77777777" w:rsidR="003C42E7" w:rsidRDefault="003C4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01A"/>
    <w:multiLevelType w:val="hybridMultilevel"/>
    <w:tmpl w:val="F3DAA270"/>
    <w:lvl w:ilvl="0" w:tplc="04090011">
      <w:start w:val="1"/>
      <w:numFmt w:val="decimal"/>
      <w:lvlText w:val="%1)"/>
      <w:lvlJc w:val="left"/>
      <w:pPr>
        <w:ind w:left="420" w:hanging="420"/>
      </w:p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FB0539"/>
    <w:multiLevelType w:val="hybridMultilevel"/>
    <w:tmpl w:val="F96E8C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61FA2"/>
    <w:multiLevelType w:val="hybridMultilevel"/>
    <w:tmpl w:val="A5820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F00AC5"/>
    <w:multiLevelType w:val="hybridMultilevel"/>
    <w:tmpl w:val="98FA17E2"/>
    <w:lvl w:ilvl="0" w:tplc="460804E4">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7100F8"/>
    <w:multiLevelType w:val="hybridMultilevel"/>
    <w:tmpl w:val="33689A82"/>
    <w:lvl w:ilvl="0" w:tplc="AB70595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723692B"/>
    <w:multiLevelType w:val="hybridMultilevel"/>
    <w:tmpl w:val="A916467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6"/>
  </w:num>
  <w:num w:numId="2" w16cid:durableId="1984658315">
    <w:abstractNumId w:val="4"/>
  </w:num>
  <w:num w:numId="3" w16cid:durableId="722876610">
    <w:abstractNumId w:val="42"/>
  </w:num>
  <w:num w:numId="4" w16cid:durableId="859195836">
    <w:abstractNumId w:val="41"/>
  </w:num>
  <w:num w:numId="5" w16cid:durableId="220140937">
    <w:abstractNumId w:val="16"/>
  </w:num>
  <w:num w:numId="6" w16cid:durableId="1734040883">
    <w:abstractNumId w:val="35"/>
  </w:num>
  <w:num w:numId="7" w16cid:durableId="2045521902">
    <w:abstractNumId w:val="8"/>
  </w:num>
  <w:num w:numId="8" w16cid:durableId="163935166">
    <w:abstractNumId w:val="24"/>
  </w:num>
  <w:num w:numId="9" w16cid:durableId="1679574324">
    <w:abstractNumId w:val="7"/>
  </w:num>
  <w:num w:numId="10" w16cid:durableId="75370074">
    <w:abstractNumId w:val="25"/>
  </w:num>
  <w:num w:numId="11" w16cid:durableId="1796754296">
    <w:abstractNumId w:val="5"/>
  </w:num>
  <w:num w:numId="12" w16cid:durableId="384646512">
    <w:abstractNumId w:val="23"/>
  </w:num>
  <w:num w:numId="13" w16cid:durableId="1573813467">
    <w:abstractNumId w:val="30"/>
  </w:num>
  <w:num w:numId="14" w16cid:durableId="1493519478">
    <w:abstractNumId w:val="9"/>
  </w:num>
  <w:num w:numId="15" w16cid:durableId="127743599">
    <w:abstractNumId w:val="44"/>
  </w:num>
  <w:num w:numId="16" w16cid:durableId="1895191140">
    <w:abstractNumId w:val="45"/>
  </w:num>
  <w:num w:numId="17" w16cid:durableId="828903070">
    <w:abstractNumId w:val="2"/>
  </w:num>
  <w:num w:numId="18" w16cid:durableId="1821799038">
    <w:abstractNumId w:val="12"/>
  </w:num>
  <w:num w:numId="19" w16cid:durableId="985160454">
    <w:abstractNumId w:val="28"/>
  </w:num>
  <w:num w:numId="20" w16cid:durableId="1390036946">
    <w:abstractNumId w:val="1"/>
  </w:num>
  <w:num w:numId="21" w16cid:durableId="381757924">
    <w:abstractNumId w:val="33"/>
  </w:num>
  <w:num w:numId="22" w16cid:durableId="1834640208">
    <w:abstractNumId w:val="6"/>
  </w:num>
  <w:num w:numId="23" w16cid:durableId="303239897">
    <w:abstractNumId w:val="22"/>
  </w:num>
  <w:num w:numId="24" w16cid:durableId="1178815800">
    <w:abstractNumId w:val="15"/>
  </w:num>
  <w:num w:numId="25" w16cid:durableId="1387993154">
    <w:abstractNumId w:val="32"/>
  </w:num>
  <w:num w:numId="26" w16cid:durableId="940138824">
    <w:abstractNumId w:val="34"/>
  </w:num>
  <w:num w:numId="27" w16cid:durableId="871189877">
    <w:abstractNumId w:val="31"/>
  </w:num>
  <w:num w:numId="28" w16cid:durableId="418596070">
    <w:abstractNumId w:val="46"/>
  </w:num>
  <w:num w:numId="29" w16cid:durableId="1149438441">
    <w:abstractNumId w:val="26"/>
  </w:num>
  <w:num w:numId="30" w16cid:durableId="1023165204">
    <w:abstractNumId w:val="43"/>
  </w:num>
  <w:num w:numId="31" w16cid:durableId="730009029">
    <w:abstractNumId w:val="21"/>
  </w:num>
  <w:num w:numId="32" w16cid:durableId="2073652555">
    <w:abstractNumId w:val="18"/>
  </w:num>
  <w:num w:numId="33" w16cid:durableId="483818738">
    <w:abstractNumId w:val="20"/>
  </w:num>
  <w:num w:numId="34" w16cid:durableId="131290464">
    <w:abstractNumId w:val="11"/>
  </w:num>
  <w:num w:numId="35" w16cid:durableId="242952235">
    <w:abstractNumId w:val="19"/>
  </w:num>
  <w:num w:numId="36" w16cid:durableId="185217925">
    <w:abstractNumId w:val="40"/>
  </w:num>
  <w:num w:numId="37" w16cid:durableId="2075394245">
    <w:abstractNumId w:val="29"/>
  </w:num>
  <w:num w:numId="38" w16cid:durableId="1001927497">
    <w:abstractNumId w:val="27"/>
  </w:num>
  <w:num w:numId="39" w16cid:durableId="864059082">
    <w:abstractNumId w:val="14"/>
  </w:num>
  <w:num w:numId="40" w16cid:durableId="1881819911">
    <w:abstractNumId w:val="0"/>
  </w:num>
  <w:num w:numId="41" w16cid:durableId="2129426998">
    <w:abstractNumId w:val="13"/>
  </w:num>
  <w:num w:numId="42" w16cid:durableId="858278403">
    <w:abstractNumId w:val="37"/>
  </w:num>
  <w:num w:numId="43" w16cid:durableId="170805621">
    <w:abstractNumId w:val="10"/>
  </w:num>
  <w:num w:numId="44" w16cid:durableId="1624530296">
    <w:abstractNumId w:val="3"/>
  </w:num>
  <w:num w:numId="45" w16cid:durableId="1289898569">
    <w:abstractNumId w:val="38"/>
  </w:num>
  <w:num w:numId="46" w16cid:durableId="1181047521">
    <w:abstractNumId w:val="17"/>
  </w:num>
  <w:num w:numId="47" w16cid:durableId="263925641">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1E6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9D0"/>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13FE"/>
    <w:rsid w:val="000C15F0"/>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3BA"/>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13"/>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03D"/>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4BFE"/>
    <w:rsid w:val="001D5668"/>
    <w:rsid w:val="001D5AED"/>
    <w:rsid w:val="001D603B"/>
    <w:rsid w:val="001D69F7"/>
    <w:rsid w:val="001D6E1A"/>
    <w:rsid w:val="001D703A"/>
    <w:rsid w:val="001D718A"/>
    <w:rsid w:val="001D7BE3"/>
    <w:rsid w:val="001E042A"/>
    <w:rsid w:val="001E0C17"/>
    <w:rsid w:val="001E0EB0"/>
    <w:rsid w:val="001E1366"/>
    <w:rsid w:val="001E15A4"/>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80F"/>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54E"/>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CD9"/>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280C"/>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A5A"/>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3F14"/>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6F93"/>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949"/>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E7"/>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E7C82"/>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5357"/>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EE"/>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5AB"/>
    <w:rsid w:val="00571B71"/>
    <w:rsid w:val="005724CB"/>
    <w:rsid w:val="00573957"/>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BB8"/>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0E67"/>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27"/>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5149"/>
    <w:rsid w:val="007563EB"/>
    <w:rsid w:val="007571CE"/>
    <w:rsid w:val="0076001B"/>
    <w:rsid w:val="0076048E"/>
    <w:rsid w:val="007604F8"/>
    <w:rsid w:val="00760824"/>
    <w:rsid w:val="00760E50"/>
    <w:rsid w:val="0076129C"/>
    <w:rsid w:val="00761835"/>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65A"/>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CA2"/>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5A0"/>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2CBF"/>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8F3"/>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2CB"/>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0A"/>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0D7"/>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80"/>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96A"/>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1F8F"/>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0E62"/>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67C"/>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222"/>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D49"/>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table" w:customStyle="1" w:styleId="42">
    <w:name w:val="网格型4"/>
    <w:basedOn w:val="a1"/>
    <w:next w:val="af1"/>
    <w:uiPriority w:val="59"/>
    <w:qFormat/>
    <w:rsid w:val="00F7067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8524</TotalTime>
  <Pages>3</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240</cp:revision>
  <cp:lastPrinted>2012-10-30T00:20:00Z</cp:lastPrinted>
  <dcterms:created xsi:type="dcterms:W3CDTF">2020-08-03T07:44:00Z</dcterms:created>
  <dcterms:modified xsi:type="dcterms:W3CDTF">2024-08-08T10:40:00Z</dcterms:modified>
</cp:coreProperties>
</file>